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2F8B" w:rsidRDefault="002E2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2E2F8B" w:rsidRDefault="002E2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«КАЛМАЮРСКОЕ СЕЛЬСКОЕ ПОСЕЛЕНИЕ» </w:t>
      </w:r>
    </w:p>
    <w:p w:rsidR="002E2F8B" w:rsidRDefault="002E2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ЧЕРДАКЛИНСКОГО РАЙОНА УЛЬЯНОВСКОЙ ОБЛАСТИ</w:t>
      </w:r>
    </w:p>
    <w:p w:rsidR="002E2F8B" w:rsidRDefault="002E2F8B">
      <w:pPr>
        <w:jc w:val="center"/>
        <w:rPr>
          <w:b/>
          <w:sz w:val="28"/>
          <w:szCs w:val="28"/>
        </w:rPr>
      </w:pPr>
    </w:p>
    <w:p w:rsidR="002E2F8B" w:rsidRDefault="002E2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2F8B" w:rsidRDefault="006F4485">
      <w:r>
        <w:rPr>
          <w:b/>
          <w:sz w:val="28"/>
          <w:szCs w:val="28"/>
        </w:rPr>
        <w:t xml:space="preserve">26 ноября </w:t>
      </w:r>
      <w:r w:rsidR="002E2F8B">
        <w:rPr>
          <w:b/>
          <w:sz w:val="28"/>
          <w:szCs w:val="28"/>
        </w:rPr>
        <w:t xml:space="preserve">2020 г.                 </w:t>
      </w:r>
      <w:r w:rsidR="002E2F8B">
        <w:rPr>
          <w:b/>
          <w:sz w:val="28"/>
          <w:szCs w:val="28"/>
        </w:rPr>
        <w:tab/>
      </w:r>
      <w:r w:rsidR="002E2F8B">
        <w:rPr>
          <w:b/>
          <w:sz w:val="28"/>
          <w:szCs w:val="28"/>
        </w:rPr>
        <w:tab/>
        <w:t xml:space="preserve">                                                               №</w:t>
      </w:r>
      <w:r>
        <w:rPr>
          <w:b/>
          <w:sz w:val="28"/>
          <w:szCs w:val="28"/>
        </w:rPr>
        <w:t xml:space="preserve"> 30</w:t>
      </w:r>
    </w:p>
    <w:p w:rsidR="002E2F8B" w:rsidRDefault="002E2F8B"/>
    <w:p w:rsidR="002E2F8B" w:rsidRDefault="002E2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Татарский Калмаюр</w:t>
      </w:r>
    </w:p>
    <w:p w:rsidR="002E2F8B" w:rsidRDefault="002E2F8B">
      <w:pPr>
        <w:jc w:val="center"/>
        <w:rPr>
          <w:b/>
          <w:sz w:val="28"/>
          <w:szCs w:val="28"/>
        </w:rPr>
      </w:pPr>
    </w:p>
    <w:p w:rsidR="002E2F8B" w:rsidRDefault="002E2F8B">
      <w:pPr>
        <w:pStyle w:val="ConsPlusTitle"/>
        <w:widowControl/>
        <w:ind w:right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депутату Совета депутатов муниципального образования «Калмаюрское сельское поселение» Чердаклинского района Ульяновской области, допустившему несущественные искажения сведений о доходах, расходах, об имуществе и обязательствах имущественного характера, мер ответственности</w:t>
      </w:r>
    </w:p>
    <w:p w:rsidR="002E2F8B" w:rsidRDefault="002E2F8B">
      <w:pPr>
        <w:pStyle w:val="ConsPlusTitle"/>
        <w:widowControl/>
        <w:ind w:right="543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F8B" w:rsidRDefault="002E2F8B" w:rsidP="006F4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6F448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от 25.12.2008 № 273-ФЗ «О противодействии коррупции», Законом Ульяновской области от 23.12.2019 № 147-ЗО «О требованиях к порядку принятия решения о применении к депутату представительного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органа, члену выборного органа местного самоуправления, выборному должностному лицу местного самоуправления в Ульяновской области, допустившему несущественное искажение сведений о доходах, расходах, об имуществе и обязательствах имущественного характера, мер ответственности», Уставом муниципального образования «Калмаюрское сельское поселение» Чердаклинского района Ульяновской области</w:t>
      </w:r>
      <w:r>
        <w:rPr>
          <w:sz w:val="28"/>
          <w:szCs w:val="28"/>
        </w:rPr>
        <w:t>, Совет депутатов муниципального образования «Калмаюрское сельское поселение» Чердаклинского района Ульяновской области решил:</w:t>
      </w:r>
      <w:proofErr w:type="gramEnd"/>
    </w:p>
    <w:p w:rsidR="002E2F8B" w:rsidRDefault="002E2F8B" w:rsidP="006F4485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принятия решения о применении к депутату Совета депутатов муниципального образования «Калмаюрское сельское поселение» Чердаклинского района Ульяновской области, допустившему несущественное искажение сведений о доходах, расходах, об имуществе и обязательствах имущественного характера, мер ответственности.</w:t>
      </w:r>
    </w:p>
    <w:p w:rsidR="002E2F8B" w:rsidRDefault="002E2F8B" w:rsidP="006F448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силу на следующий день после дня его официального опубликования в информационном бюллетене «Калмаюрский вестник».</w:t>
      </w:r>
    </w:p>
    <w:p w:rsidR="002E2F8B" w:rsidRDefault="002E2F8B">
      <w:pPr>
        <w:ind w:firstLine="708"/>
        <w:jc w:val="both"/>
        <w:rPr>
          <w:sz w:val="28"/>
          <w:szCs w:val="28"/>
        </w:rPr>
      </w:pPr>
    </w:p>
    <w:p w:rsidR="002E2F8B" w:rsidRDefault="002E2F8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2E2F8B" w:rsidRPr="006F4485" w:rsidRDefault="002E2F8B">
      <w:pPr>
        <w:jc w:val="both"/>
        <w:rPr>
          <w:b/>
          <w:sz w:val="28"/>
          <w:szCs w:val="28"/>
        </w:rPr>
      </w:pPr>
      <w:r w:rsidRPr="006F4485">
        <w:rPr>
          <w:b/>
          <w:sz w:val="28"/>
          <w:szCs w:val="28"/>
        </w:rPr>
        <w:t>Глава муниципального образования</w:t>
      </w:r>
    </w:p>
    <w:p w:rsidR="002E2F8B" w:rsidRPr="006F4485" w:rsidRDefault="002E2F8B">
      <w:pPr>
        <w:jc w:val="both"/>
        <w:rPr>
          <w:b/>
          <w:sz w:val="28"/>
          <w:szCs w:val="28"/>
        </w:rPr>
      </w:pPr>
      <w:r w:rsidRPr="006F4485">
        <w:rPr>
          <w:b/>
          <w:sz w:val="28"/>
          <w:szCs w:val="28"/>
        </w:rPr>
        <w:t xml:space="preserve">«Калмаюрское сельское поселение» </w:t>
      </w:r>
    </w:p>
    <w:p w:rsidR="002E2F8B" w:rsidRPr="006F4485" w:rsidRDefault="002E2F8B">
      <w:pPr>
        <w:jc w:val="both"/>
        <w:rPr>
          <w:b/>
          <w:sz w:val="28"/>
          <w:szCs w:val="28"/>
        </w:rPr>
      </w:pPr>
      <w:r w:rsidRPr="006F4485">
        <w:rPr>
          <w:b/>
          <w:sz w:val="28"/>
          <w:szCs w:val="28"/>
        </w:rPr>
        <w:t xml:space="preserve">Чердаклинского района </w:t>
      </w:r>
    </w:p>
    <w:p w:rsidR="002E2F8B" w:rsidRPr="006F4485" w:rsidRDefault="002E2F8B">
      <w:pPr>
        <w:jc w:val="both"/>
        <w:rPr>
          <w:b/>
        </w:rPr>
      </w:pPr>
      <w:r w:rsidRPr="006F4485">
        <w:rPr>
          <w:b/>
          <w:sz w:val="28"/>
          <w:szCs w:val="28"/>
        </w:rPr>
        <w:t>Ульяновской области</w:t>
      </w:r>
      <w:r w:rsidRPr="006F4485">
        <w:rPr>
          <w:b/>
          <w:sz w:val="28"/>
          <w:szCs w:val="28"/>
        </w:rPr>
        <w:tab/>
      </w:r>
      <w:r w:rsidRPr="006F4485">
        <w:rPr>
          <w:b/>
          <w:sz w:val="28"/>
          <w:szCs w:val="28"/>
        </w:rPr>
        <w:tab/>
      </w:r>
      <w:r w:rsidRPr="006F4485">
        <w:rPr>
          <w:b/>
          <w:sz w:val="28"/>
          <w:szCs w:val="28"/>
        </w:rPr>
        <w:tab/>
      </w:r>
      <w:r w:rsidRPr="006F4485">
        <w:rPr>
          <w:b/>
          <w:sz w:val="28"/>
          <w:szCs w:val="28"/>
        </w:rPr>
        <w:tab/>
      </w:r>
      <w:r w:rsidRPr="006F4485">
        <w:rPr>
          <w:b/>
          <w:sz w:val="28"/>
          <w:szCs w:val="28"/>
        </w:rPr>
        <w:tab/>
        <w:t xml:space="preserve">                              А. М. Гареев </w:t>
      </w:r>
    </w:p>
    <w:p w:rsidR="002E2F8B" w:rsidRDefault="002E2F8B">
      <w:pPr>
        <w:jc w:val="both"/>
      </w:pPr>
    </w:p>
    <w:p w:rsidR="002E2F8B" w:rsidRDefault="002E2F8B">
      <w:pPr>
        <w:jc w:val="both"/>
        <w:rPr>
          <w:sz w:val="28"/>
          <w:szCs w:val="28"/>
        </w:rPr>
      </w:pPr>
    </w:p>
    <w:p w:rsidR="006F4485" w:rsidRDefault="006F4485">
      <w:pPr>
        <w:jc w:val="both"/>
        <w:rPr>
          <w:sz w:val="28"/>
          <w:szCs w:val="28"/>
        </w:rPr>
      </w:pPr>
    </w:p>
    <w:p w:rsidR="006F4485" w:rsidRDefault="006F4485">
      <w:pPr>
        <w:jc w:val="both"/>
      </w:pPr>
    </w:p>
    <w:tbl>
      <w:tblPr>
        <w:tblW w:w="0" w:type="auto"/>
        <w:tblLayout w:type="fixed"/>
        <w:tblLook w:val="0000"/>
      </w:tblPr>
      <w:tblGrid>
        <w:gridCol w:w="5637"/>
        <w:gridCol w:w="4038"/>
      </w:tblGrid>
      <w:tr w:rsidR="002E2F8B">
        <w:tc>
          <w:tcPr>
            <w:tcW w:w="5637" w:type="dxa"/>
            <w:shd w:val="clear" w:color="auto" w:fill="auto"/>
          </w:tcPr>
          <w:p w:rsidR="002E2F8B" w:rsidRDefault="002E2F8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shd w:val="clear" w:color="auto" w:fill="auto"/>
          </w:tcPr>
          <w:p w:rsidR="002E2F8B" w:rsidRDefault="002E2F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2E2F8B" w:rsidRDefault="002E2F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 депутатов муниципального образования «Калмаюрское сельское поселение» Чердаклинского района Ульяновской области</w:t>
            </w:r>
          </w:p>
          <w:p w:rsidR="002E2F8B" w:rsidRDefault="002E2F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6F4485">
              <w:rPr>
                <w:color w:val="000000"/>
                <w:sz w:val="28"/>
                <w:szCs w:val="28"/>
              </w:rPr>
              <w:t>26 ноября 2020 г. № 30</w:t>
            </w:r>
          </w:p>
          <w:p w:rsidR="002E2F8B" w:rsidRDefault="002E2F8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E2F8B" w:rsidRDefault="002E2F8B">
      <w:pPr>
        <w:rPr>
          <w:color w:val="000000"/>
          <w:sz w:val="28"/>
          <w:szCs w:val="28"/>
        </w:rPr>
      </w:pPr>
    </w:p>
    <w:p w:rsidR="002E2F8B" w:rsidRDefault="002E2F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2E2F8B" w:rsidRDefault="002E2F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принятия решения о применении к депутату Совета депутатов муниципального образования «Калмаюрское сельское поселение» Чердаклинского района Ульяновской области, допустившему несущественное искажение сведений о доходах, расходах, об имуществе и обязательствах имущественного характера, мер ответственности</w:t>
      </w:r>
    </w:p>
    <w:p w:rsidR="002E2F8B" w:rsidRDefault="002E2F8B">
      <w:pPr>
        <w:jc w:val="center"/>
        <w:rPr>
          <w:b/>
          <w:color w:val="000000"/>
          <w:sz w:val="28"/>
          <w:szCs w:val="28"/>
        </w:rPr>
      </w:pPr>
    </w:p>
    <w:p w:rsidR="002E2F8B" w:rsidRDefault="002E2F8B" w:rsidP="006F4485">
      <w:pPr>
        <w:numPr>
          <w:ilvl w:val="0"/>
          <w:numId w:val="1"/>
        </w:numPr>
        <w:tabs>
          <w:tab w:val="left" w:pos="567"/>
        </w:tabs>
        <w:ind w:left="0" w:hanging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2E2F8B" w:rsidRDefault="002E2F8B">
      <w:pPr>
        <w:ind w:left="720"/>
        <w:rPr>
          <w:b/>
          <w:color w:val="000000"/>
          <w:sz w:val="28"/>
          <w:szCs w:val="28"/>
        </w:rPr>
      </w:pP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Порядок принятия решения о применении к депутату Совета депутатов муниципального образования «Калмаюрское сельское поселение» Чердаклинского района Ульяновской области, допустившему несущественное искажение сведений о доходах, расходах, об имуществе и обязательствах имущественного характера, мер ответственности (далее – Порядок) определяет процедуру принятия решения о применении к депутату Совета депутатов муниципального образования «Калмаюрское сельское поселение» Чердаклинского района Ульяновской области (далее – лицо, замещающее муниципальную должность), допустившему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несущественное искажение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</w:p>
    <w:p w:rsidR="002E2F8B" w:rsidRDefault="002E2F8B" w:rsidP="006F4485">
      <w:pPr>
        <w:numPr>
          <w:ilvl w:val="0"/>
          <w:numId w:val="1"/>
        </w:numPr>
        <w:ind w:left="0" w:hanging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рассмотрения поступившей информации</w:t>
      </w:r>
    </w:p>
    <w:p w:rsidR="002E2F8B" w:rsidRDefault="002E2F8B" w:rsidP="006F4485">
      <w:pPr>
        <w:ind w:left="720" w:firstLine="709"/>
        <w:rPr>
          <w:b/>
          <w:color w:val="000000"/>
          <w:sz w:val="28"/>
          <w:szCs w:val="28"/>
        </w:rPr>
      </w:pP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Основанием для рассмотрения вопроса о применении мер ответственности, предусмотренных часть</w:t>
      </w:r>
      <w:r w:rsidR="006F448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7.3-1 статьи 40 Федерального закона от 06.10.2003 № 131-ФЗ «Об общих принципах организации местного самоуправления в Российской Федерации» (далее – меры ответственности), является поступившее в муниципальное учреждение Совет депутатов муниципального образования «Калмаюрское сельское поселение» Чердаклинского района Ульяновской области (далее – уполномоченный </w:t>
      </w:r>
      <w:r>
        <w:rPr>
          <w:color w:val="000000"/>
          <w:sz w:val="28"/>
          <w:szCs w:val="28"/>
        </w:rPr>
        <w:lastRenderedPageBreak/>
        <w:t>орган) заявление Губернатора Ульяновской области о применении к лицу, замещающему муниципальную</w:t>
      </w:r>
      <w:proofErr w:type="gramEnd"/>
      <w:r>
        <w:rPr>
          <w:color w:val="000000"/>
          <w:sz w:val="28"/>
          <w:szCs w:val="28"/>
        </w:rPr>
        <w:t xml:space="preserve"> должность, мер ответственности. 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>Уполномоченный орган не позднее двадцати рабочих дней со дня получения заявления Губернатора Ульяновской области о применении в отношении лица, замещающего муниципальную должность, меры ответственности (далее – заявление) обеспечивает рассмотрение заявления на заседании созданной уполномоченным органом комиссии</w:t>
      </w:r>
      <w:r w:rsidR="001E0E5E">
        <w:rPr>
          <w:color w:val="000000"/>
          <w:sz w:val="28"/>
          <w:szCs w:val="28"/>
        </w:rPr>
        <w:t xml:space="preserve"> </w:t>
      </w:r>
      <w:r w:rsidR="001E0E5E" w:rsidRPr="001E0E5E">
        <w:rPr>
          <w:sz w:val="28"/>
          <w:szCs w:val="28"/>
        </w:rPr>
        <w:t>по контролю за достоверностью сведений о доходах и расходах, об имуществе и обязательствах имущественного характера, представляемых лицами, замещающими должности муниципальной службы администрации муниципального образования «Калмаюрское</w:t>
      </w:r>
      <w:proofErr w:type="gramEnd"/>
      <w:r w:rsidR="001E0E5E" w:rsidRPr="001E0E5E">
        <w:rPr>
          <w:sz w:val="28"/>
          <w:szCs w:val="28"/>
        </w:rPr>
        <w:t xml:space="preserve"> </w:t>
      </w:r>
      <w:proofErr w:type="gramStart"/>
      <w:r w:rsidR="001E0E5E" w:rsidRPr="001E0E5E">
        <w:rPr>
          <w:sz w:val="28"/>
          <w:szCs w:val="28"/>
        </w:rPr>
        <w:t>сельское поселение» Чердаклинского района Ульяновской области, по соблюдению требований к должностному поведению лиц, замещающих должности муниципальной службы, и урегулированию конфликта интересов</w:t>
      </w:r>
      <w:r w:rsidR="00F814EA">
        <w:rPr>
          <w:sz w:val="28"/>
          <w:szCs w:val="28"/>
        </w:rPr>
        <w:t>,</w:t>
      </w:r>
      <w:r w:rsidR="001E0E5E" w:rsidRPr="001E0E5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ведению которой относятся вопросы соблюдения лицами, замещающими муниципальные должности, ограничений и запретов, требований о предотвращении или об урегулировании конфликта интересов и исполнения обязанностей, установленных  в целях противодействия коррупции (далее – Комиссия).</w:t>
      </w:r>
      <w:proofErr w:type="gramEnd"/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При подготовке к заседанию Комиссия: 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организует ознакомление лица, замещающего муниципальную должность, с заявлением, извещает его о дате, времени и месте рассмотрения заявления любым способом, утверждающим факт доставки соответствующего извещения лицу, замещающему муниципальную должность, и запрашивает от него письменное объяснение по поводу указанных в заявлении фактов. В случае отказа лица, замещающего муниципальную должность, представить уполномоченным членам комиссии письменное объяснение или непредставления лицом, замещающим муниципальную должность, уполномоченным членам комиссии письменного объяснения до начала заседания </w:t>
      </w:r>
      <w:proofErr w:type="gramStart"/>
      <w:r>
        <w:rPr>
          <w:color w:val="000000"/>
          <w:sz w:val="28"/>
          <w:szCs w:val="28"/>
        </w:rPr>
        <w:t>комиссии</w:t>
      </w:r>
      <w:proofErr w:type="gramEnd"/>
      <w:r>
        <w:rPr>
          <w:color w:val="000000"/>
          <w:sz w:val="28"/>
          <w:szCs w:val="28"/>
        </w:rPr>
        <w:t xml:space="preserve"> уполномоченные члены комиссии составляют об этом соответствующий акт; 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проводит собеседование с лицом, замещающим муниципальную должность;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направляет запросы в органы государственной власти, органы местного самоуправления, организации о предоставлении информации, необходимой для рассмотрения заявления (при необходимости);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 рассматривает ходатайства об участии в рассмотрении заявления иных лиц, замещающих муниципальные должности, муниципальных служащих, специалистов, которые могут дать пояснения по фактам, изложенным в заявлении, должностных лиц органов государственной власти Ульяновской области, представителей заинтересованных организаций, представителя лица, замещающего муниципальную должность, в отношении которого рассматривается заявление (на основании ходатайства лица, замещающего муниципальную должность, или любого лица, входящего в состав Комиссии, в</w:t>
      </w:r>
      <w:proofErr w:type="gramEnd"/>
      <w:r>
        <w:rPr>
          <w:color w:val="000000"/>
          <w:sz w:val="28"/>
          <w:szCs w:val="28"/>
        </w:rPr>
        <w:t xml:space="preserve"> каждом конкретном случае решение принимается </w:t>
      </w:r>
      <w:r>
        <w:rPr>
          <w:color w:val="000000"/>
          <w:sz w:val="28"/>
          <w:szCs w:val="28"/>
        </w:rPr>
        <w:lastRenderedPageBreak/>
        <w:t xml:space="preserve">председателем Комиссии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три дня до дня рассмотрения заявления).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Дату, время и место рассмотрения заявления и письменного объяснения лица, замещающего муниципальную должность (в случае, если письменное объяснение представлено в комиссию до начала ее заседания) (далее – рассмотрение заявления) назначает председатель Комиссии.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заявление осуществляется Комиссией в присутствии не менее 2/3 от общего числа лиц, входящих в ее состав. Лица, входящие в состав Комиссии, осуществляют свои полномочия непосредственно, без права их передачи, в том числе и на время своего отсутствия, иным лицам.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прямой или косвенной личной заинтересованности лица, входящего в состав Комиссии, которая может привести к конфликту интересов при рассмотрении заявления, оно обязано до начала рассмотрения заявления заявить об этом. В этом случае соответствующее лицо не принимает участие в рассмотрении заявления.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Лицо, замещающее муниципальную должность, вправе присутствовать при рассмотрении заявления. О намерении лично присутствовать при рассмотрении заявления лицо, замещающее муниципальную должность, указывает в письменном объяснении.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заявления проводится в отсутствии лица, замещающего муниципальную должность, в случае: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отсутствия в письменном объяснении лица, замещающего муниципальную должность, указания на намерение лично присутствовать при рассмотрении заявления;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лицо, замещающее муниципальную должность, намеревавшееся лично присутствовать на рассмотрении заявления и извещенное о дате, времени и месте рассмотрения заявления, не явилось на рассмотрение заявления.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proofErr w:type="gramStart"/>
      <w:r>
        <w:rPr>
          <w:color w:val="000000"/>
          <w:sz w:val="28"/>
          <w:szCs w:val="28"/>
        </w:rPr>
        <w:t>На рассмотрении заявления оглашается заявление и письменное объяснения лица, замещающего муниципальную должность (в случае, если письменное объяснение представлено в комиссию до начала ее заседания), полученные ответы на запросы Комиссии, заслушиваются пояснения лица, замещающего муниципальную должность (в случае его отсутствия при рассмотрении заявления), иных лиц, участвующих в рассмотрении заявления по решению председателя Комиссии, мнение лиц, входящих в состав Комиссии.</w:t>
      </w:r>
      <w:proofErr w:type="gramEnd"/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Лица, входящие в состав Комиссии, и лица, участвовавшие в рассмотрении заявления, не вправе разглашать сведения, ставшие им известными в ходе рассмотрения заявления.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По итогам рассмотрения информации, указанной в пункте 2.6 настоящего раздела, Комиссия принимает одно из следующих решений: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согласии с содержащимися в заявлении фактами и о необходимости применения к лицу, замещающему муниципальную должность, меры ответственности с указанием конкретной меры ответственности, рекомендуемой Комиссией для применения муниципальным учреждением </w:t>
      </w:r>
      <w:r>
        <w:rPr>
          <w:color w:val="000000"/>
          <w:sz w:val="28"/>
          <w:szCs w:val="28"/>
        </w:rPr>
        <w:lastRenderedPageBreak/>
        <w:t>Совет депутатов муниципального образования «Калмаюрское сельское поселение» Чердаклинского района Ульяновской области;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несогласии с содержащимся в заявлении фактами по основаниям, предусмотренным настоящим Положением.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Комиссия принимает решение о несогласии с содержащимися в заявлении фактами по следующим основаниям: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искажение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явилось следствием технической ошибки (описки, опечатки, грамматической или арифметической ошибки либо подобной ошибки), наличие которой следует из содержания направленных сведений;</w:t>
      </w:r>
      <w:proofErr w:type="gramEnd"/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объект недвижимого имущества, отсутствующий в одном разделе справки о доходах, расходах, об имуществе и обязательствах имущественного характера (далее – справки), указан в другом разделе справки;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указаны сведения об имуществе, находящемся в долевой собственности лица, замещающего муниципальную должность, и члена его семьи, при этом сведения о наличии такого имущества в собственности члена семьи указаны в справке, представленной в отношении члена семьи;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сведения об имуществе, принадлежащем супругам на праве совместной собственности, указаны только в справке одного из су</w:t>
      </w:r>
      <w:r w:rsidR="003A2DD5">
        <w:rPr>
          <w:color w:val="000000"/>
          <w:sz w:val="28"/>
          <w:szCs w:val="28"/>
        </w:rPr>
        <w:t xml:space="preserve">пругов либо в справке </w:t>
      </w:r>
      <w:r>
        <w:rPr>
          <w:color w:val="000000"/>
          <w:sz w:val="28"/>
          <w:szCs w:val="28"/>
        </w:rPr>
        <w:t>одного из супругов указаны достоверно, а в справе другого – недостоверно;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сведения не указаны либо указаны недостоверно в связи с ошибкой в официальном документе, на основании которого заполняется справка.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Принятое Комиссией решение отражается в протоколе заседания Комиссии, копия которого не позднее трёх рабочих дней со дня завершения заседания комиссии вместе с заявлением передаётся Комиссией в уполномоченный орган.</w:t>
      </w:r>
    </w:p>
    <w:p w:rsidR="002E2F8B" w:rsidRDefault="002E2F8B" w:rsidP="006F4485">
      <w:pPr>
        <w:ind w:firstLine="709"/>
        <w:rPr>
          <w:color w:val="000000"/>
          <w:sz w:val="28"/>
          <w:szCs w:val="28"/>
        </w:rPr>
      </w:pPr>
    </w:p>
    <w:p w:rsidR="002E2F8B" w:rsidRDefault="002E2F8B" w:rsidP="006F4485">
      <w:pPr>
        <w:numPr>
          <w:ilvl w:val="0"/>
          <w:numId w:val="1"/>
        </w:numPr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Принятия решения о применении к лицу, замещающему муниципальную должность, мер ответственности</w:t>
      </w:r>
    </w:p>
    <w:p w:rsidR="002E2F8B" w:rsidRDefault="002E2F8B" w:rsidP="006F4485">
      <w:pPr>
        <w:ind w:firstLine="709"/>
        <w:rPr>
          <w:b/>
          <w:color w:val="000000"/>
          <w:sz w:val="28"/>
          <w:szCs w:val="28"/>
        </w:rPr>
      </w:pP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 xml:space="preserve">Уполномоченный орган не позднее пятнадцати рабочих дней со дня получения протокола заседания Комиссии и заявления принимает решение в форме муниципального правового акта в порядке, установленном для издания муниципальных правовых актов уполномоченного органа, о применении к лицу, замещающему муниципальную должность, меры ответственности или о </w:t>
      </w:r>
      <w:r w:rsidRPr="00F814EA">
        <w:rPr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применении к лицу, замещающему муниципальную должность, меры ответственности.</w:t>
      </w:r>
      <w:proofErr w:type="gramEnd"/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proofErr w:type="gramStart"/>
      <w:r>
        <w:rPr>
          <w:color w:val="000000"/>
          <w:sz w:val="28"/>
          <w:szCs w:val="28"/>
        </w:rPr>
        <w:t xml:space="preserve">Решение уполномоченного органа, указанное в пункте 3.1 настоящего раздела (далее – решение), принимается с учётом принятых Комиссией решений, а также предшествующего поведения лица, замещающего муниципальную должность, соблюдения им ограничений и </w:t>
      </w:r>
      <w:r>
        <w:rPr>
          <w:color w:val="000000"/>
          <w:sz w:val="28"/>
          <w:szCs w:val="28"/>
        </w:rPr>
        <w:lastRenderedPageBreak/>
        <w:t>запретов, требований о предотвращении или об урегулировании конфликта интересов и исполнения им других обязанностей, установленных в целях противодействия коррупции, а также степени несущественности допущенного им искажения сведений о доходах, расходах, об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имуществе</w:t>
      </w:r>
      <w:proofErr w:type="gramEnd"/>
      <w:r>
        <w:rPr>
          <w:color w:val="000000"/>
          <w:sz w:val="28"/>
          <w:szCs w:val="28"/>
        </w:rPr>
        <w:t xml:space="preserve"> и обязательствах имущественного характера.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Уполномоченный орган направляет копию решения Губернатору Ульяновской области не позднее трёх рабочих дней со дня его принятия.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Лицо, замещающее муниципальную должность, должно быть ознакомлено под роспись с решением уполномоченного органа о применении к нему меры ответственности с вручением ему копии решения уполномоченного органа (выписки из решения уполномоченного органа  в части, касающейся лица, замещающего муниципальную должность) в течение трёх дней со дня принятия такого решения.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В случае отказа лица, замещающего муниципальную должность, от ознакомления с решением уполномоченного органа под роспись, а также от получения копии решения уполномоченного органа (выписки из решения уполномоченного органа в части, касающейся лица, замещающего муниципальную должность) либо неявки такого лица для совершения указанных действий в уполномоченный орган, должностными лицами уполномоченного органа составляется акт об отказе лица, замещающего муниципальную должность, от ознакомления</w:t>
      </w:r>
      <w:proofErr w:type="gramEnd"/>
      <w:r>
        <w:rPr>
          <w:color w:val="000000"/>
          <w:sz w:val="28"/>
          <w:szCs w:val="28"/>
        </w:rPr>
        <w:t xml:space="preserve"> от получения копии решения  уполномоченного органа (выписки из решения уполномоченного органа в части, касающейся лица, замещающего муниципальную должность) либо о неявке такого лица для совершения указанных действий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уполномоченный</w:t>
      </w:r>
      <w:proofErr w:type="gramEnd"/>
      <w:r>
        <w:rPr>
          <w:color w:val="000000"/>
          <w:sz w:val="28"/>
          <w:szCs w:val="28"/>
        </w:rPr>
        <w:t xml:space="preserve"> орган.</w:t>
      </w:r>
    </w:p>
    <w:p w:rsidR="002E2F8B" w:rsidRDefault="002E2F8B" w:rsidP="006F44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предусмотренном настоящим пунктом, копия решения уполномоченного органа (выписки из решения уполномоченного органа в части, касающейся лица, замещающего муниципальную должность) о применении меры ответственности направляется лицу, замещающему муниципальную должность, заказным письмом с уведомлением.</w:t>
      </w:r>
    </w:p>
    <w:p w:rsidR="002E2F8B" w:rsidRDefault="002E2F8B">
      <w:pPr>
        <w:ind w:firstLine="360"/>
        <w:rPr>
          <w:color w:val="000000"/>
          <w:sz w:val="28"/>
          <w:szCs w:val="28"/>
        </w:rPr>
      </w:pPr>
    </w:p>
    <w:p w:rsidR="002E2F8B" w:rsidRDefault="002E2F8B">
      <w:pPr>
        <w:ind w:firstLine="360"/>
        <w:rPr>
          <w:color w:val="000000"/>
          <w:sz w:val="28"/>
          <w:szCs w:val="28"/>
        </w:rPr>
      </w:pPr>
    </w:p>
    <w:p w:rsidR="002E2F8B" w:rsidRDefault="002E2F8B">
      <w:pPr>
        <w:ind w:firstLine="360"/>
        <w:rPr>
          <w:color w:val="000000"/>
          <w:sz w:val="28"/>
          <w:szCs w:val="28"/>
        </w:rPr>
      </w:pPr>
    </w:p>
    <w:p w:rsidR="002E2F8B" w:rsidRDefault="002E2F8B">
      <w:pPr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2E2F8B" w:rsidRDefault="002E2F8B">
      <w:pPr>
        <w:ind w:firstLine="360"/>
        <w:jc w:val="center"/>
        <w:rPr>
          <w:color w:val="000000"/>
          <w:sz w:val="28"/>
          <w:szCs w:val="28"/>
        </w:rPr>
      </w:pPr>
    </w:p>
    <w:p w:rsidR="002E2F8B" w:rsidRDefault="002E2F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E2F8B" w:rsidRDefault="002E2F8B">
      <w:pPr>
        <w:ind w:firstLine="360"/>
        <w:rPr>
          <w:color w:val="000000"/>
          <w:sz w:val="28"/>
          <w:szCs w:val="28"/>
        </w:rPr>
      </w:pPr>
    </w:p>
    <w:p w:rsidR="002E2F8B" w:rsidRDefault="002E2F8B">
      <w:pPr>
        <w:ind w:firstLine="360"/>
        <w:rPr>
          <w:color w:val="000000"/>
          <w:sz w:val="28"/>
          <w:szCs w:val="28"/>
        </w:rPr>
      </w:pPr>
    </w:p>
    <w:p w:rsidR="002E2F8B" w:rsidRDefault="002E2F8B">
      <w:pPr>
        <w:ind w:left="720"/>
        <w:rPr>
          <w:color w:val="000000"/>
          <w:sz w:val="28"/>
          <w:szCs w:val="28"/>
        </w:rPr>
      </w:pPr>
    </w:p>
    <w:p w:rsidR="002E2F8B" w:rsidRDefault="002E2F8B">
      <w:pPr>
        <w:jc w:val="center"/>
        <w:rPr>
          <w:color w:val="000000"/>
          <w:sz w:val="28"/>
          <w:szCs w:val="28"/>
        </w:rPr>
      </w:pPr>
    </w:p>
    <w:p w:rsidR="002E2F8B" w:rsidRDefault="002E2F8B">
      <w:pPr>
        <w:rPr>
          <w:color w:val="000000"/>
          <w:sz w:val="28"/>
          <w:szCs w:val="28"/>
        </w:rPr>
      </w:pPr>
    </w:p>
    <w:p w:rsidR="002E2F8B" w:rsidRDefault="002E2F8B">
      <w:pPr>
        <w:rPr>
          <w:color w:val="000000"/>
          <w:sz w:val="28"/>
          <w:szCs w:val="28"/>
        </w:rPr>
      </w:pPr>
    </w:p>
    <w:p w:rsidR="002E2F8B" w:rsidRDefault="002E2F8B">
      <w:pPr>
        <w:rPr>
          <w:color w:val="000000"/>
          <w:sz w:val="28"/>
          <w:szCs w:val="28"/>
        </w:rPr>
      </w:pPr>
    </w:p>
    <w:sectPr w:rsidR="002E2F8B">
      <w:pgSz w:w="11906" w:h="16838"/>
      <w:pgMar w:top="1134" w:right="746" w:bottom="99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1E0E5E"/>
    <w:rsid w:val="001E0E5E"/>
    <w:rsid w:val="002E2F8B"/>
    <w:rsid w:val="003A2DD5"/>
    <w:rsid w:val="003F6B0A"/>
    <w:rsid w:val="006F4485"/>
    <w:rsid w:val="00AC0497"/>
    <w:rsid w:val="00F8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 CYR" w:eastAsia="Times New Roman CYR" w:hAnsi="Times New Roman CYR" w:cs="Times New Roman CYR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 CYR" w:eastAsia="Times New Roman CYR" w:hAnsi="Times New Roman CYR" w:cs="Times New Roman CYR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Title">
    <w:name w:val="ConsTitl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Body Text Indent"/>
    <w:basedOn w:val="a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ConsPlusNormal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  ConsPlusCell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  ConsPlusDocList"/>
    <w:next w:val="ConsPlusNormal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2"/>
      <w:szCs w:val="22"/>
      <w:lang w:eastAsia="hi-IN" w:bidi="hi-IN"/>
    </w:rPr>
  </w:style>
  <w:style w:type="paragraph" w:customStyle="1" w:styleId="nospacing">
    <w:name w:val="nospacing"/>
    <w:basedOn w:val="a"/>
    <w:pPr>
      <w:suppressAutoHyphens w:val="0"/>
      <w:spacing w:before="280" w:after="280"/>
    </w:pPr>
  </w:style>
  <w:style w:type="paragraph" w:customStyle="1" w:styleId="text">
    <w:name w:val="text"/>
    <w:basedOn w:val="a"/>
    <w:pPr>
      <w:suppressAutoHyphens w:val="0"/>
      <w:spacing w:before="280" w:after="280"/>
    </w:pPr>
  </w:style>
  <w:style w:type="paragraph" w:styleId="ab">
    <w:name w:val="Normal (Web)"/>
    <w:basedOn w:val="a"/>
    <w:pPr>
      <w:suppressAutoHyphens w:val="0"/>
      <w:spacing w:before="280" w:after="280"/>
    </w:pPr>
  </w:style>
  <w:style w:type="paragraph" w:customStyle="1" w:styleId="default">
    <w:name w:val="default"/>
    <w:basedOn w:val="a"/>
    <w:pPr>
      <w:spacing w:before="280" w:after="28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MultiDVD Team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User</cp:lastModifiedBy>
  <cp:revision>2</cp:revision>
  <cp:lastPrinted>2020-11-26T10:52:00Z</cp:lastPrinted>
  <dcterms:created xsi:type="dcterms:W3CDTF">2024-04-26T04:13:00Z</dcterms:created>
  <dcterms:modified xsi:type="dcterms:W3CDTF">2024-04-26T04:13:00Z</dcterms:modified>
</cp:coreProperties>
</file>